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4E60C9FF"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102-e</w:t>
      </w:r>
      <w:r w:rsidRPr="00774255">
        <w:rPr>
          <w:rFonts w:ascii="Arial" w:eastAsia="Times New Roman" w:hAnsi="Arial" w:cs="Arial"/>
          <w:b/>
          <w:bCs/>
          <w:sz w:val="24"/>
          <w:szCs w:val="24"/>
          <w:lang w:eastAsia="en-US"/>
        </w:rPr>
        <w:t xml:space="preserve">                                  </w:t>
      </w:r>
      <w:r w:rsidRPr="00774255">
        <w:rPr>
          <w:rFonts w:ascii="Arial" w:hAnsi="Arial" w:cs="Arial" w:hint="eastAsia"/>
          <w:b/>
          <w:bCs/>
          <w:sz w:val="24"/>
          <w:szCs w:val="24"/>
        </w:rPr>
        <w:t xml:space="preserve"> </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 xml:space="preserve"> </w:t>
      </w:r>
      <w:r w:rsidRPr="00774255">
        <w:rPr>
          <w:rFonts w:ascii="Arial" w:eastAsia="Times New Roman" w:hAnsi="Arial" w:cs="Arial"/>
          <w:b/>
          <w:bCs/>
          <w:sz w:val="24"/>
          <w:szCs w:val="24"/>
          <w:lang w:eastAsia="en-US"/>
        </w:rPr>
        <w:t xml:space="preserve"> R1-20</w:t>
      </w:r>
      <w:r w:rsidRPr="00774255">
        <w:rPr>
          <w:rFonts w:ascii="Arial" w:eastAsia="Times New Roman" w:hAnsi="Arial" w:cs="Arial" w:hint="eastAsia"/>
          <w:b/>
          <w:bCs/>
          <w:sz w:val="24"/>
          <w:szCs w:val="24"/>
          <w:lang w:eastAsia="en-US"/>
        </w:rPr>
        <w:t>0</w:t>
      </w:r>
      <w:r w:rsidRPr="00AB103E">
        <w:rPr>
          <w:rFonts w:ascii="Arial" w:eastAsia="Times New Roman" w:hAnsi="Arial" w:cs="Arial" w:hint="eastAsia"/>
          <w:b/>
          <w:bCs/>
          <w:sz w:val="24"/>
          <w:szCs w:val="24"/>
          <w:lang w:eastAsia="en-US"/>
        </w:rPr>
        <w:t>6658</w:t>
      </w:r>
      <w:r w:rsidRPr="00774255">
        <w:rPr>
          <w:rFonts w:ascii="Arial" w:eastAsia="Times New Roman" w:hAnsi="Arial" w:cs="Arial"/>
          <w:b/>
          <w:bCs/>
          <w:sz w:val="24"/>
          <w:szCs w:val="24"/>
          <w:lang w:eastAsia="en-US"/>
        </w:rPr>
        <w:t xml:space="preserve">                                                                           </w:t>
      </w:r>
    </w:p>
    <w:p w14:paraId="711F7567" w14:textId="77777777"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Pr="00774255">
        <w:rPr>
          <w:rFonts w:ascii="Arial" w:eastAsia="Times New Roman" w:hAnsi="Arial" w:cs="Arial"/>
          <w:b/>
          <w:bCs/>
          <w:sz w:val="24"/>
          <w:szCs w:val="24"/>
          <w:lang w:eastAsia="en-US"/>
        </w:rPr>
        <w:t>August 17</w:t>
      </w:r>
      <w:r w:rsidRPr="00774255">
        <w:rPr>
          <w:rFonts w:ascii="Arial" w:eastAsia="Times New Roman" w:hAnsi="Arial" w:cs="Arial"/>
          <w:b/>
          <w:bCs/>
          <w:sz w:val="24"/>
          <w:szCs w:val="24"/>
          <w:vertAlign w:val="superscript"/>
          <w:lang w:eastAsia="en-US"/>
        </w:rPr>
        <w:t xml:space="preserve">th </w:t>
      </w:r>
      <w:r w:rsidRPr="00774255">
        <w:rPr>
          <w:rFonts w:ascii="Arial" w:eastAsia="Times New Roman" w:hAnsi="Arial" w:cs="Arial"/>
          <w:b/>
          <w:bCs/>
          <w:sz w:val="24"/>
          <w:szCs w:val="24"/>
          <w:lang w:eastAsia="en-US"/>
        </w:rPr>
        <w:t>– 28</w:t>
      </w:r>
      <w:r w:rsidRPr="00774255">
        <w:rPr>
          <w:rFonts w:ascii="Arial" w:eastAsia="Times New Roman" w:hAnsi="Arial" w:cs="Arial"/>
          <w:b/>
          <w:bCs/>
          <w:sz w:val="24"/>
          <w:szCs w:val="24"/>
          <w:vertAlign w:val="superscript"/>
          <w:lang w:eastAsia="en-US"/>
        </w:rPr>
        <w:t>th</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2020</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77777777"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1" w:name="_Hlk47345766"/>
      <w:r w:rsidRPr="00774255">
        <w:rPr>
          <w:rFonts w:ascii="Arial" w:eastAsia="Times New Roman" w:hAnsi="Arial" w:cs="Arial"/>
          <w:b/>
          <w:sz w:val="21"/>
          <w:szCs w:val="24"/>
          <w:lang w:eastAsia="en-US"/>
        </w:rPr>
        <w:t>Other issues for Rel-17 MBS</w:t>
      </w:r>
    </w:p>
    <w:bookmarkEnd w:id="1"/>
    <w:p w14:paraId="237481F7" w14:textId="77777777"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t>8.12.</w:t>
      </w:r>
      <w:r w:rsidRPr="00774255">
        <w:rPr>
          <w:rFonts w:ascii="Arial" w:eastAsia="Times New Roman" w:hAnsi="Arial" w:cs="Arial" w:hint="eastAsia"/>
          <w:b/>
          <w:sz w:val="21"/>
          <w:szCs w:val="24"/>
          <w:lang w:eastAsia="en-US"/>
        </w:rPr>
        <w:t>4</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2" w:name="_Ref165266342"/>
      <w:bookmarkEnd w:id="0"/>
      <w:r>
        <w:t>Introduction</w:t>
      </w:r>
      <w:bookmarkEnd w:id="2"/>
    </w:p>
    <w:p w14:paraId="3E4F7A37" w14:textId="41A3677E" w:rsidR="00454558" w:rsidRDefault="001A696F" w:rsidP="00977BE8">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 and the CONNECTED UE</w:t>
      </w:r>
      <w:r w:rsidR="00DB12BF">
        <w:t xml:space="preserve">. </w:t>
      </w:r>
      <w:r w:rsidR="00226163">
        <w:t xml:space="preserve">As the UE could </w:t>
      </w:r>
      <w:r w:rsidR="00E62EA4">
        <w:t>be configured to provide the UL feedbacks (e.g. HARQ feedback)</w:t>
      </w:r>
      <w:r w:rsidR="00054F2E">
        <w:t>, the UE would be required to support the HARQ process for the MBS reception.</w:t>
      </w:r>
      <w:r w:rsidR="00B66AA0">
        <w:t xml:space="preserve"> In this contributions, we provide our analysis on some of the remaining issues on supporting the HARQ operation for the MBS.</w:t>
      </w:r>
    </w:p>
    <w:p w14:paraId="6B332CC7" w14:textId="77777777" w:rsidR="00DA44DE" w:rsidRDefault="00DA44DE" w:rsidP="00DA44DE">
      <w:pPr>
        <w:pStyle w:val="1"/>
        <w:tabs>
          <w:tab w:val="left" w:pos="432"/>
        </w:tabs>
        <w:jc w:val="left"/>
      </w:pPr>
      <w:r>
        <w:rPr>
          <w:rFonts w:hint="eastAsia"/>
        </w:rPr>
        <w:t>Discussion</w:t>
      </w:r>
    </w:p>
    <w:p w14:paraId="3D93DB17" w14:textId="13CF2A75" w:rsidR="00A94FFC" w:rsidRPr="00A94FFC" w:rsidRDefault="00F83715" w:rsidP="00647996">
      <w:pPr>
        <w:pStyle w:val="2"/>
        <w:keepLines w:val="0"/>
        <w:tabs>
          <w:tab w:val="clear" w:pos="1002"/>
          <w:tab w:val="num" w:pos="576"/>
        </w:tabs>
        <w:spacing w:line="240" w:lineRule="auto"/>
        <w:ind w:left="0" w:firstLine="0"/>
        <w:jc w:val="left"/>
        <w:rPr>
          <w:b/>
        </w:rPr>
      </w:pPr>
      <w:r>
        <w:t>HARQ process allocation</w:t>
      </w:r>
    </w:p>
    <w:p w14:paraId="1D44D9FB" w14:textId="1FD3E51A" w:rsidR="00B257A5" w:rsidRDefault="007D060D" w:rsidP="00CD66BD">
      <w:r>
        <w:t>According to the LTE</w:t>
      </w:r>
      <w:r w:rsidR="00843C6B">
        <w:t xml:space="preserve"> MBMS/SC-PTM, the MBS PDSCH does not support HARQ</w:t>
      </w:r>
      <w:r w:rsidR="004333A4">
        <w:t xml:space="preserve">. </w:t>
      </w:r>
      <w:r w:rsidR="00E769A4">
        <w:t>However,</w:t>
      </w:r>
      <w:r w:rsidR="004333A4">
        <w:t xml:space="preserve"> the L2 buffer </w:t>
      </w:r>
      <w:r w:rsidR="002B2BC7">
        <w:t xml:space="preserve">of </w:t>
      </w:r>
      <w:r w:rsidR="00CC2D18">
        <w:t xml:space="preserve">a </w:t>
      </w:r>
      <w:r w:rsidR="002B2BC7">
        <w:t>UE</w:t>
      </w:r>
      <w:r w:rsidR="00437E69">
        <w:t xml:space="preserve"> </w:t>
      </w:r>
      <w:r w:rsidR="004333A4">
        <w:t xml:space="preserve">is shared </w:t>
      </w:r>
      <w:r w:rsidR="00CC2D18">
        <w:t xml:space="preserve">between </w:t>
      </w:r>
      <w:r w:rsidR="004333A4">
        <w:t xml:space="preserve">the unicast </w:t>
      </w:r>
      <w:r w:rsidR="000E3902">
        <w:t xml:space="preserve">reception </w:t>
      </w:r>
      <w:r w:rsidR="004333A4">
        <w:t>and the MBS</w:t>
      </w:r>
      <w:r w:rsidR="000E3902">
        <w:t xml:space="preserve"> reception</w:t>
      </w:r>
      <w:r w:rsidR="007A3EB4">
        <w:t xml:space="preserve"> according to </w:t>
      </w:r>
      <w:r w:rsidR="00DA7D82">
        <w:t>3GPP TS 36.306</w:t>
      </w:r>
      <w:r w:rsidR="00B03997">
        <w:t xml:space="preserve"> [2]</w:t>
      </w:r>
      <w:r w:rsidR="00805001">
        <w:t xml:space="preserve">, as this can save the UE buffer cost </w:t>
      </w:r>
      <w:r w:rsidR="00E92E29">
        <w:t>and make more efficient use of the UE buffer.</w:t>
      </w:r>
      <w:r w:rsidR="006B7185">
        <w:t xml:space="preserve"> </w:t>
      </w:r>
      <w:r w:rsidR="00366242">
        <w:t>Then</w:t>
      </w:r>
      <w:r w:rsidR="0093769A">
        <w:t xml:space="preserve"> if the NR MBS</w:t>
      </w:r>
      <w:r w:rsidR="00934ED4">
        <w:t xml:space="preserve"> </w:t>
      </w:r>
      <w:r w:rsidR="0093769A">
        <w:t>is to support the soft buffer of the HARQ</w:t>
      </w:r>
      <w:r w:rsidR="00E934CC">
        <w:t>, the soft buffer of the HARQ process(es) should be shared between the unicast</w:t>
      </w:r>
      <w:r w:rsidR="00123C80" w:rsidRPr="00E769A4">
        <w:t xml:space="preserve"> (</w:t>
      </w:r>
      <w:r w:rsidR="00155B0D" w:rsidRPr="00E769A4">
        <w:t>i.e. unicast PDSCH</w:t>
      </w:r>
      <w:r w:rsidR="00123C80" w:rsidRPr="00E769A4">
        <w:t>)</w:t>
      </w:r>
      <w:r w:rsidR="00E934CC" w:rsidRPr="00E769A4">
        <w:t xml:space="preserve"> </w:t>
      </w:r>
      <w:r w:rsidR="00E934CC">
        <w:t>and the MBS</w:t>
      </w:r>
      <w:r w:rsidR="00123C80">
        <w:t xml:space="preserve"> </w:t>
      </w:r>
      <w:r w:rsidR="00123C80" w:rsidRPr="00E769A4">
        <w:t>(</w:t>
      </w:r>
      <w:r w:rsidR="00155B0D" w:rsidRPr="00E769A4">
        <w:t>i.e. groupcast PDSCH</w:t>
      </w:r>
      <w:r w:rsidR="00123C80" w:rsidRPr="00E769A4">
        <w:t>)</w:t>
      </w:r>
      <w:r w:rsidR="00EB7392">
        <w:t>.</w:t>
      </w:r>
      <w:r w:rsidR="003F065A">
        <w:t xml:space="preserve"> Thus we consider that the same HARQ process should be shared between the unicast and the MBS.</w:t>
      </w:r>
    </w:p>
    <w:p w14:paraId="450E5E97" w14:textId="0221C848" w:rsidR="00101F17" w:rsidRPr="00815463" w:rsidRDefault="00101F17" w:rsidP="00CD66BD">
      <w:pPr>
        <w:rPr>
          <w:b/>
        </w:rPr>
      </w:pPr>
      <w:r w:rsidRPr="00815463">
        <w:rPr>
          <w:b/>
        </w:rPr>
        <w:t>Proposal 1</w:t>
      </w:r>
      <w:r w:rsidR="0029597F" w:rsidRPr="00815463">
        <w:rPr>
          <w:b/>
        </w:rPr>
        <w:t>: The MBS transmission</w:t>
      </w:r>
      <w:r w:rsidR="00635C25" w:rsidRPr="00815463">
        <w:rPr>
          <w:b/>
        </w:rPr>
        <w:t xml:space="preserve"> (</w:t>
      </w:r>
      <w:r w:rsidR="00157BF9" w:rsidRPr="00815463">
        <w:rPr>
          <w:b/>
        </w:rPr>
        <w:t>i.e.</w:t>
      </w:r>
      <w:r w:rsidR="00635C25" w:rsidRPr="00815463">
        <w:rPr>
          <w:b/>
        </w:rPr>
        <w:t xml:space="preserve"> </w:t>
      </w:r>
      <w:r w:rsidR="00155B0D">
        <w:rPr>
          <w:b/>
        </w:rPr>
        <w:t xml:space="preserve">groupcast </w:t>
      </w:r>
      <w:r w:rsidR="00635C25" w:rsidRPr="00815463">
        <w:rPr>
          <w:b/>
        </w:rPr>
        <w:t>PDSCH)</w:t>
      </w:r>
      <w:r w:rsidR="0029597F" w:rsidRPr="00815463">
        <w:rPr>
          <w:b/>
        </w:rPr>
        <w:t xml:space="preserve"> and the unicast transmission</w:t>
      </w:r>
      <w:r w:rsidR="007624FD" w:rsidRPr="00815463">
        <w:rPr>
          <w:b/>
        </w:rPr>
        <w:t xml:space="preserve"> (i.e</w:t>
      </w:r>
      <w:r w:rsidR="00B85E39" w:rsidRPr="00815463">
        <w:rPr>
          <w:b/>
        </w:rPr>
        <w:t>.</w:t>
      </w:r>
      <w:r w:rsidR="007624FD" w:rsidRPr="00815463">
        <w:rPr>
          <w:b/>
        </w:rPr>
        <w:t xml:space="preserve"> </w:t>
      </w:r>
      <w:r w:rsidR="00155B0D">
        <w:rPr>
          <w:b/>
        </w:rPr>
        <w:t xml:space="preserve">unicast </w:t>
      </w:r>
      <w:r w:rsidR="007624FD" w:rsidRPr="00815463">
        <w:rPr>
          <w:b/>
        </w:rPr>
        <w:t>PDSCH)</w:t>
      </w:r>
      <w:r w:rsidR="0029597F" w:rsidRPr="00815463">
        <w:rPr>
          <w:b/>
        </w:rPr>
        <w:t xml:space="preserve"> share the same HARQ process pool.</w:t>
      </w:r>
    </w:p>
    <w:p w14:paraId="04895E22" w14:textId="79ECAF92" w:rsidR="00BD0F13" w:rsidRDefault="000B624C" w:rsidP="00CD66BD">
      <w:r>
        <w:t xml:space="preserve">If the HARQ processes are shared between the </w:t>
      </w:r>
      <w:r w:rsidR="0043409D">
        <w:t>MBS and the unicast</w:t>
      </w:r>
      <w:r w:rsidR="0001558D">
        <w:t xml:space="preserve">, one may consider that we could have the following </w:t>
      </w:r>
      <w:r w:rsidR="00663702">
        <w:t xml:space="preserve">HARQ process allocation </w:t>
      </w:r>
      <w:r w:rsidR="00DB3F35">
        <w:t xml:space="preserve">schemes </w:t>
      </w:r>
      <w:r w:rsidR="00335A1F">
        <w:t>to avoid the HARQ process collision between the MBS and the unicast</w:t>
      </w:r>
      <w:r w:rsidR="00341389">
        <w:t>:</w:t>
      </w:r>
    </w:p>
    <w:p w14:paraId="407B4914" w14:textId="00C13A19" w:rsidR="00341389" w:rsidRPr="00774255" w:rsidRDefault="00341389" w:rsidP="00774255">
      <w:pPr>
        <w:pStyle w:val="af6"/>
        <w:numPr>
          <w:ilvl w:val="0"/>
          <w:numId w:val="43"/>
        </w:numPr>
        <w:spacing w:after="120" w:line="288" w:lineRule="auto"/>
        <w:ind w:left="714" w:firstLineChars="0" w:hanging="357"/>
        <w:rPr>
          <w:rFonts w:eastAsia="宋体"/>
          <w:sz w:val="22"/>
          <w:szCs w:val="20"/>
          <w:lang w:eastAsia="zh-CN"/>
        </w:rPr>
      </w:pPr>
      <w:r w:rsidRPr="00774255">
        <w:rPr>
          <w:rFonts w:eastAsia="宋体"/>
          <w:sz w:val="22"/>
          <w:szCs w:val="20"/>
          <w:lang w:eastAsia="zh-CN"/>
        </w:rPr>
        <w:t xml:space="preserve">Option 1: </w:t>
      </w:r>
      <w:r w:rsidR="00CD10CA">
        <w:rPr>
          <w:rFonts w:eastAsia="宋体"/>
          <w:sz w:val="22"/>
          <w:szCs w:val="20"/>
          <w:lang w:eastAsia="zh-CN"/>
        </w:rPr>
        <w:t xml:space="preserve">semi-static </w:t>
      </w:r>
      <w:r w:rsidR="00CD10CA" w:rsidRPr="00CD10CA">
        <w:rPr>
          <w:rFonts w:eastAsia="宋体"/>
          <w:sz w:val="22"/>
          <w:szCs w:val="20"/>
          <w:lang w:eastAsia="zh-CN"/>
        </w:rPr>
        <w:t>HARQ-process sharing</w:t>
      </w:r>
    </w:p>
    <w:p w14:paraId="45E5D697" w14:textId="009C9794" w:rsidR="00341389" w:rsidRPr="00774255" w:rsidRDefault="00341389" w:rsidP="00774255">
      <w:pPr>
        <w:pStyle w:val="af6"/>
        <w:numPr>
          <w:ilvl w:val="0"/>
          <w:numId w:val="43"/>
        </w:numPr>
        <w:spacing w:after="120" w:line="288" w:lineRule="auto"/>
        <w:ind w:left="714" w:firstLineChars="0" w:hanging="357"/>
        <w:rPr>
          <w:rFonts w:eastAsia="宋体"/>
          <w:sz w:val="22"/>
          <w:szCs w:val="20"/>
          <w:lang w:eastAsia="zh-CN"/>
        </w:rPr>
      </w:pPr>
      <w:r w:rsidRPr="00774255">
        <w:rPr>
          <w:rFonts w:eastAsia="宋体"/>
          <w:sz w:val="22"/>
          <w:szCs w:val="20"/>
          <w:lang w:eastAsia="zh-CN"/>
        </w:rPr>
        <w:t xml:space="preserve">Option 2: Dynamic </w:t>
      </w:r>
      <w:r w:rsidR="00CD10CA" w:rsidRPr="00CD10CA">
        <w:rPr>
          <w:rFonts w:eastAsia="宋体"/>
          <w:sz w:val="22"/>
          <w:szCs w:val="20"/>
          <w:lang w:eastAsia="zh-CN"/>
        </w:rPr>
        <w:t>HARQ-process sharing</w:t>
      </w:r>
    </w:p>
    <w:p w14:paraId="43CF9EDE" w14:textId="23EB190F" w:rsidR="006F3DB0" w:rsidRDefault="009B59AA" w:rsidP="00CD66BD">
      <w:pPr>
        <w:rPr>
          <w:noProof/>
        </w:rPr>
      </w:pPr>
      <w:r>
        <w:t>For the IDLE</w:t>
      </w:r>
      <w:r w:rsidR="00E10842">
        <w:t>/INACTIVE</w:t>
      </w:r>
      <w:r>
        <w:t xml:space="preserve"> UE MBS reception, the </w:t>
      </w:r>
      <w:r w:rsidR="00335A1F">
        <w:t>UE can use all</w:t>
      </w:r>
      <w:r w:rsidR="00500A9B">
        <w:t xml:space="preserve"> HARQ processes</w:t>
      </w:r>
      <w:r w:rsidR="00D06684">
        <w:t xml:space="preserve"> as no HARQ process is used for the </w:t>
      </w:r>
      <w:r w:rsidR="004923D2">
        <w:t>unicast transmission</w:t>
      </w:r>
      <w:r w:rsidR="0090023C">
        <w:t>, and there is no HARQ process collision between the MBS and the unicast</w:t>
      </w:r>
      <w:r w:rsidR="004923D2">
        <w:t>.</w:t>
      </w:r>
      <w:r w:rsidR="0002055B">
        <w:t xml:space="preserve"> Given that the P-RNTI PDSCH (i.e. paging) does not support</w:t>
      </w:r>
      <w:r w:rsidR="00923D71">
        <w:t xml:space="preserve"> </w:t>
      </w:r>
      <w:r w:rsidR="00C31593">
        <w:t xml:space="preserve">HARQ </w:t>
      </w:r>
      <w:r w:rsidR="00923D71">
        <w:t>and the SI-RNTI PDSCH (i.e. SI)</w:t>
      </w:r>
      <w:r w:rsidR="00E107F1">
        <w:t xml:space="preserve"> uses a </w:t>
      </w:r>
      <w:r w:rsidR="00E107F1" w:rsidRPr="00030779">
        <w:rPr>
          <w:noProof/>
        </w:rPr>
        <w:t>dedicated broadcast HARQ process</w:t>
      </w:r>
      <w:r w:rsidR="00E107F1">
        <w:rPr>
          <w:noProof/>
        </w:rPr>
        <w:t xml:space="preserve"> [</w:t>
      </w:r>
      <w:r w:rsidR="00281598">
        <w:rPr>
          <w:noProof/>
        </w:rPr>
        <w:t>3</w:t>
      </w:r>
      <w:r w:rsidR="00E107F1">
        <w:rPr>
          <w:noProof/>
        </w:rPr>
        <w:t>].</w:t>
      </w:r>
    </w:p>
    <w:p w14:paraId="12A0B413" w14:textId="252F1FC0" w:rsidR="00A536B9" w:rsidRDefault="0021701D" w:rsidP="00CD66BD">
      <w:pPr>
        <w:rPr>
          <w:noProof/>
        </w:rPr>
      </w:pPr>
      <w:r>
        <w:rPr>
          <w:noProof/>
        </w:rPr>
        <w:t>For the CONNNECTED UE MBS reception, as the gNB can know the UE’s MBS reception via the RRC message of the UE’s MBS interest indication</w:t>
      </w:r>
      <w:r w:rsidR="00ED1B9E">
        <w:rPr>
          <w:noProof/>
        </w:rPr>
        <w:t>, the gNB can avoid the HARQ process collision between the unicast and the MBS</w:t>
      </w:r>
      <w:r w:rsidR="001E6376">
        <w:rPr>
          <w:noProof/>
        </w:rPr>
        <w:t>.</w:t>
      </w:r>
      <w:r w:rsidR="00B94132">
        <w:rPr>
          <w:noProof/>
        </w:rPr>
        <w:t xml:space="preserve"> Then the gNB can simply indicate the HARQ process </w:t>
      </w:r>
      <w:r w:rsidR="00E5431C">
        <w:rPr>
          <w:noProof/>
        </w:rPr>
        <w:t>via</w:t>
      </w:r>
      <w:r w:rsidR="00BF4F03">
        <w:rPr>
          <w:noProof/>
        </w:rPr>
        <w:t xml:space="preserve"> the</w:t>
      </w:r>
      <w:r w:rsidR="00B94132">
        <w:rPr>
          <w:noProof/>
        </w:rPr>
        <w:t xml:space="preserve"> </w:t>
      </w:r>
      <w:r w:rsidR="00CC2D18">
        <w:rPr>
          <w:noProof/>
        </w:rPr>
        <w:t>g</w:t>
      </w:r>
      <w:r w:rsidR="00B94132">
        <w:rPr>
          <w:noProof/>
        </w:rPr>
        <w:t xml:space="preserve">-RNTI DCI. </w:t>
      </w:r>
    </w:p>
    <w:p w14:paraId="2609E5C7" w14:textId="3EED6402" w:rsidR="008E0B77" w:rsidRPr="00926C4E" w:rsidRDefault="008E0B77" w:rsidP="00CD66BD">
      <w:pPr>
        <w:rPr>
          <w:b/>
        </w:rPr>
      </w:pPr>
      <w:r w:rsidRPr="00926C4E">
        <w:rPr>
          <w:b/>
        </w:rPr>
        <w:lastRenderedPageBreak/>
        <w:t>Proposal 2</w:t>
      </w:r>
      <w:r w:rsidR="00437054" w:rsidRPr="00926C4E">
        <w:rPr>
          <w:b/>
        </w:rPr>
        <w:t xml:space="preserve">: </w:t>
      </w:r>
      <w:r w:rsidR="004A5952">
        <w:rPr>
          <w:b/>
        </w:rPr>
        <w:t>For the dynamic scheduling</w:t>
      </w:r>
      <w:r w:rsidR="00BD07CB">
        <w:rPr>
          <w:b/>
        </w:rPr>
        <w:t xml:space="preserve"> of MBS</w:t>
      </w:r>
      <w:r w:rsidR="004A5952">
        <w:rPr>
          <w:b/>
        </w:rPr>
        <w:t>, t</w:t>
      </w:r>
      <w:r w:rsidR="00437054" w:rsidRPr="00926C4E">
        <w:rPr>
          <w:b/>
        </w:rPr>
        <w:t xml:space="preserve">he HARQ process </w:t>
      </w:r>
      <w:r w:rsidR="00327A81">
        <w:rPr>
          <w:b/>
        </w:rPr>
        <w:t>used for</w:t>
      </w:r>
      <w:r w:rsidR="00437054" w:rsidRPr="00926C4E">
        <w:rPr>
          <w:b/>
        </w:rPr>
        <w:t xml:space="preserve"> </w:t>
      </w:r>
      <w:r w:rsidR="008D519A">
        <w:rPr>
          <w:b/>
        </w:rPr>
        <w:t xml:space="preserve">the </w:t>
      </w:r>
      <w:r w:rsidR="00437054" w:rsidRPr="00926C4E">
        <w:rPr>
          <w:b/>
        </w:rPr>
        <w:t xml:space="preserve">MBS </w:t>
      </w:r>
      <w:r w:rsidR="0084444F">
        <w:rPr>
          <w:b/>
        </w:rPr>
        <w:t xml:space="preserve">transmission </w:t>
      </w:r>
      <w:r w:rsidR="006D727A">
        <w:rPr>
          <w:b/>
        </w:rPr>
        <w:t>is</w:t>
      </w:r>
      <w:r w:rsidR="00437054" w:rsidRPr="00926C4E">
        <w:rPr>
          <w:b/>
        </w:rPr>
        <w:t xml:space="preserve"> indicated </w:t>
      </w:r>
      <w:r w:rsidR="00B37C39">
        <w:rPr>
          <w:b/>
        </w:rPr>
        <w:t xml:space="preserve">via the </w:t>
      </w:r>
      <w:r w:rsidR="00774255">
        <w:rPr>
          <w:b/>
        </w:rPr>
        <w:t>g</w:t>
      </w:r>
      <w:r w:rsidR="00B37C39">
        <w:rPr>
          <w:b/>
        </w:rPr>
        <w:t>-RNTI DCI.</w:t>
      </w:r>
    </w:p>
    <w:p w14:paraId="2F2D38F6" w14:textId="77777777" w:rsidR="00CD10CA" w:rsidRPr="00B13001" w:rsidRDefault="004A5952" w:rsidP="00CD10CA">
      <w:r>
        <w:t xml:space="preserve">If RAN1 agreed to support the semi-static </w:t>
      </w:r>
      <w:r w:rsidR="002C35F5">
        <w:t xml:space="preserve">resource </w:t>
      </w:r>
      <w:r>
        <w:t>allocation</w:t>
      </w:r>
      <w:r w:rsidR="0023659B">
        <w:t xml:space="preserve"> (e.g. alike SPS)</w:t>
      </w:r>
      <w:r>
        <w:t xml:space="preserve"> </w:t>
      </w:r>
      <w:r w:rsidR="002C35F5">
        <w:t>for</w:t>
      </w:r>
      <w:r>
        <w:t xml:space="preserve"> the MBS </w:t>
      </w:r>
      <w:r w:rsidR="002C35F5">
        <w:t>transmission,</w:t>
      </w:r>
      <w:r w:rsidR="00B91229">
        <w:t xml:space="preserve"> the RRC could configure the HARQ process used for </w:t>
      </w:r>
      <w:r w:rsidR="00CB3235">
        <w:t>the semi-static resource</w:t>
      </w:r>
      <w:r w:rsidR="00605359">
        <w:t xml:space="preserve"> of the MBS, alike the current SPS configuration.</w:t>
      </w:r>
      <w:r w:rsidR="00CD10CA">
        <w:t xml:space="preserve"> </w:t>
      </w:r>
      <w:r w:rsidR="00CD10CA" w:rsidRPr="00B13001">
        <w:t>Alternatively, the HARQ-process for SPS-like MBS transmission can be implicitly derived based on the slot index, similarly as the SPS HARQ-process ID determination in Rel-15/16</w:t>
      </w:r>
    </w:p>
    <w:p w14:paraId="753C515A" w14:textId="10D40530" w:rsidR="008E0B77" w:rsidRPr="00CD10CA" w:rsidRDefault="00CD10CA" w:rsidP="00CD66BD">
      <w:pPr>
        <w:rPr>
          <w:rFonts w:hint="eastAsia"/>
          <w:b/>
        </w:rPr>
      </w:pPr>
      <w:r w:rsidRPr="00B13001">
        <w:rPr>
          <w:b/>
        </w:rPr>
        <w:t>Proposal 3: For the semi-static resource allocation of MBS (i.e. SPS alike), the HARQ-process ID for MBS transmission can be either RRC-configured, or implicitly derived based on slot index.</w:t>
      </w:r>
    </w:p>
    <w:p w14:paraId="4B67F1E8" w14:textId="0BD98B0D" w:rsidR="00081E1D" w:rsidRDefault="00084E82" w:rsidP="00AA1855">
      <w:pPr>
        <w:pStyle w:val="2"/>
        <w:keepLines w:val="0"/>
        <w:tabs>
          <w:tab w:val="clear" w:pos="1002"/>
          <w:tab w:val="num" w:pos="576"/>
        </w:tabs>
        <w:spacing w:line="240" w:lineRule="auto"/>
        <w:ind w:left="0" w:firstLine="0"/>
        <w:jc w:val="left"/>
      </w:pPr>
      <w:r>
        <w:t>HARQ new/re-transmission</w:t>
      </w:r>
      <w:bookmarkStart w:id="3" w:name="_GoBack"/>
      <w:bookmarkEnd w:id="3"/>
    </w:p>
    <w:p w14:paraId="75C0C1FB" w14:textId="4124BB6E" w:rsidR="00AB3E97" w:rsidRPr="00E769A4" w:rsidRDefault="002D4CC1" w:rsidP="00D118A6">
      <w:pPr>
        <w:rPr>
          <w:lang w:eastAsia="ko-KR"/>
        </w:rPr>
      </w:pPr>
      <w:r w:rsidRPr="00E769A4">
        <w:t xml:space="preserve">As </w:t>
      </w:r>
      <w:r w:rsidR="00D118A6" w:rsidRPr="00E769A4">
        <w:t xml:space="preserve">discussed in [4], either </w:t>
      </w:r>
      <w:r w:rsidR="00A57A5B" w:rsidRPr="00E769A4">
        <w:t xml:space="preserve">group PDCCH (i.e. </w:t>
      </w:r>
      <w:r w:rsidR="00774255" w:rsidRPr="00E769A4">
        <w:t>g</w:t>
      </w:r>
      <w:r w:rsidR="00A57A5B" w:rsidRPr="00E769A4">
        <w:t xml:space="preserve">-RNTI based) or unicast PDCCH (i.e. C-RNTI based) can be used to schedule </w:t>
      </w:r>
      <w:r w:rsidR="00E769A4">
        <w:t xml:space="preserve">the transmission of </w:t>
      </w:r>
      <w:r w:rsidR="00A57A5B" w:rsidRPr="00E769A4">
        <w:t xml:space="preserve">MBS PDSCH. </w:t>
      </w:r>
    </w:p>
    <w:p w14:paraId="08C29914" w14:textId="20096939" w:rsidR="001A4C4E" w:rsidRDefault="005D016D" w:rsidP="00AF7C99">
      <w:pPr>
        <w:rPr>
          <w:lang w:eastAsia="ko-KR"/>
        </w:rPr>
      </w:pPr>
      <w:r>
        <w:rPr>
          <w:lang w:eastAsia="ko-KR"/>
        </w:rPr>
        <w:t>Regarding the HARQ retransmission of the MBS service</w:t>
      </w:r>
      <w:r w:rsidR="006C2985">
        <w:rPr>
          <w:lang w:eastAsia="ko-KR"/>
        </w:rPr>
        <w:t xml:space="preserve">, as the </w:t>
      </w:r>
      <w:proofErr w:type="spellStart"/>
      <w:r w:rsidR="006C2985">
        <w:rPr>
          <w:lang w:eastAsia="ko-KR"/>
        </w:rPr>
        <w:t>gNB</w:t>
      </w:r>
      <w:proofErr w:type="spellEnd"/>
      <w:r w:rsidR="006C2985">
        <w:rPr>
          <w:lang w:eastAsia="ko-KR"/>
        </w:rPr>
        <w:t xml:space="preserve"> by implementation can avoid the HARQ process collision between the unicast service and the MBS service</w:t>
      </w:r>
      <w:r w:rsidR="00737F2D">
        <w:rPr>
          <w:lang w:eastAsia="ko-KR"/>
        </w:rPr>
        <w:t xml:space="preserve"> according to the analysis given in section 2.1, </w:t>
      </w:r>
      <w:r w:rsidR="001E49CC">
        <w:rPr>
          <w:lang w:eastAsia="ko-KR"/>
        </w:rPr>
        <w:t xml:space="preserve">then the </w:t>
      </w:r>
      <w:proofErr w:type="spellStart"/>
      <w:r w:rsidR="001E49CC">
        <w:rPr>
          <w:lang w:eastAsia="ko-KR"/>
        </w:rPr>
        <w:t>gNB</w:t>
      </w:r>
      <w:proofErr w:type="spellEnd"/>
      <w:r w:rsidR="001E49CC">
        <w:rPr>
          <w:lang w:eastAsia="ko-KR"/>
        </w:rPr>
        <w:t xml:space="preserve"> can use indicate the </w:t>
      </w:r>
      <w:r w:rsidR="00AB2725">
        <w:rPr>
          <w:lang w:eastAsia="ko-KR"/>
        </w:rPr>
        <w:t xml:space="preserve">HARQ retransmission of MBS service via either C-RNTI or </w:t>
      </w:r>
      <w:r w:rsidR="00774255">
        <w:rPr>
          <w:lang w:eastAsia="ko-KR"/>
        </w:rPr>
        <w:t>g</w:t>
      </w:r>
      <w:r w:rsidR="001314F7">
        <w:rPr>
          <w:lang w:eastAsia="ko-KR"/>
        </w:rPr>
        <w:t>-RNTI.</w:t>
      </w:r>
      <w:r w:rsidR="002C0DF3">
        <w:rPr>
          <w:lang w:eastAsia="ko-KR"/>
        </w:rPr>
        <w:t xml:space="preserve"> </w:t>
      </w:r>
      <w:r w:rsidR="00774255">
        <w:rPr>
          <w:lang w:eastAsia="ko-KR"/>
        </w:rPr>
        <w:t>Furthermore,</w:t>
      </w:r>
      <w:r w:rsidR="002C0DF3">
        <w:rPr>
          <w:lang w:eastAsia="ko-KR"/>
        </w:rPr>
        <w:t xml:space="preserve"> using the </w:t>
      </w:r>
      <w:r w:rsidR="00A57A5B">
        <w:rPr>
          <w:lang w:eastAsia="ko-KR"/>
        </w:rPr>
        <w:t>unicast PDCCH</w:t>
      </w:r>
      <w:r w:rsidR="002C0DF3">
        <w:rPr>
          <w:lang w:eastAsia="ko-KR"/>
        </w:rPr>
        <w:t xml:space="preserve"> for the MBS retransmission would also improve the transmission reliability </w:t>
      </w:r>
      <w:r w:rsidR="00D14549">
        <w:rPr>
          <w:lang w:eastAsia="ko-KR"/>
        </w:rPr>
        <w:t>of the MBS service</w:t>
      </w:r>
      <w:r w:rsidR="00A57A5B">
        <w:rPr>
          <w:lang w:eastAsia="ko-KR"/>
        </w:rPr>
        <w:t xml:space="preserve"> due to UE specific beamforming</w:t>
      </w:r>
      <w:r w:rsidR="00D14549">
        <w:rPr>
          <w:lang w:eastAsia="ko-KR"/>
        </w:rPr>
        <w:t xml:space="preserve"> and </w:t>
      </w:r>
      <w:r w:rsidR="002C0DF3">
        <w:rPr>
          <w:lang w:eastAsia="ko-KR"/>
        </w:rPr>
        <w:t xml:space="preserve">save the power of the other UEs which </w:t>
      </w:r>
      <w:r w:rsidR="00254536">
        <w:rPr>
          <w:lang w:eastAsia="ko-KR"/>
        </w:rPr>
        <w:t xml:space="preserve">have </w:t>
      </w:r>
      <w:r w:rsidR="00667C0A">
        <w:rPr>
          <w:lang w:eastAsia="ko-KR"/>
        </w:rPr>
        <w:t>already received a</w:t>
      </w:r>
      <w:r w:rsidR="00D14549">
        <w:rPr>
          <w:lang w:eastAsia="ko-KR"/>
        </w:rPr>
        <w:t>n</w:t>
      </w:r>
      <w:r w:rsidR="00667C0A">
        <w:rPr>
          <w:lang w:eastAsia="ko-KR"/>
        </w:rPr>
        <w:t xml:space="preserve"> MBS TB successfully.</w:t>
      </w:r>
      <w:r w:rsidR="00787A8C">
        <w:rPr>
          <w:lang w:eastAsia="ko-KR"/>
        </w:rPr>
        <w:t xml:space="preserve"> </w:t>
      </w:r>
      <w:r w:rsidR="00774255">
        <w:rPr>
          <w:lang w:eastAsia="ko-KR"/>
        </w:rPr>
        <w:t>However,</w:t>
      </w:r>
      <w:r w:rsidR="00787A8C">
        <w:rPr>
          <w:lang w:eastAsia="ko-KR"/>
        </w:rPr>
        <w:t xml:space="preserve"> one may consider that using the </w:t>
      </w:r>
      <w:r w:rsidR="00774255">
        <w:rPr>
          <w:lang w:eastAsia="ko-KR"/>
        </w:rPr>
        <w:t>g</w:t>
      </w:r>
      <w:r w:rsidR="00787A8C">
        <w:rPr>
          <w:lang w:eastAsia="ko-KR"/>
        </w:rPr>
        <w:t>-RN</w:t>
      </w:r>
      <w:r w:rsidR="00A57A5B">
        <w:rPr>
          <w:lang w:eastAsia="ko-KR"/>
        </w:rPr>
        <w:t xml:space="preserve">TI based PDCCH </w:t>
      </w:r>
      <w:r w:rsidR="00787A8C">
        <w:rPr>
          <w:lang w:eastAsia="ko-KR"/>
        </w:rPr>
        <w:t xml:space="preserve">for </w:t>
      </w:r>
      <w:r w:rsidR="00A57A5B">
        <w:rPr>
          <w:lang w:eastAsia="ko-KR"/>
        </w:rPr>
        <w:t xml:space="preserve">scheduling of </w:t>
      </w:r>
      <w:r w:rsidR="00D519AD">
        <w:rPr>
          <w:lang w:eastAsia="ko-KR"/>
        </w:rPr>
        <w:t xml:space="preserve">HARQ </w:t>
      </w:r>
      <w:r w:rsidR="00787A8C">
        <w:rPr>
          <w:lang w:eastAsia="ko-KR"/>
        </w:rPr>
        <w:t xml:space="preserve">retransmission </w:t>
      </w:r>
      <w:r w:rsidR="000E10FD">
        <w:rPr>
          <w:lang w:eastAsia="ko-KR"/>
        </w:rPr>
        <w:t>(</w:t>
      </w:r>
      <w:r w:rsidR="004063EA">
        <w:rPr>
          <w:lang w:eastAsia="ko-KR"/>
        </w:rPr>
        <w:t xml:space="preserve">i.e. </w:t>
      </w:r>
      <w:r w:rsidR="000E10FD">
        <w:rPr>
          <w:lang w:eastAsia="ko-KR"/>
        </w:rPr>
        <w:t xml:space="preserve">without sending the MBS TB to each UE independently) </w:t>
      </w:r>
      <w:r w:rsidR="00787A8C">
        <w:rPr>
          <w:lang w:eastAsia="ko-KR"/>
        </w:rPr>
        <w:t>would also benefit the resource utilization</w:t>
      </w:r>
      <w:r w:rsidR="00D23208">
        <w:rPr>
          <w:lang w:eastAsia="ko-KR"/>
        </w:rPr>
        <w:t>.</w:t>
      </w:r>
      <w:r w:rsidR="003F7EA3">
        <w:rPr>
          <w:lang w:eastAsia="ko-KR"/>
        </w:rPr>
        <w:t xml:space="preserve"> </w:t>
      </w:r>
      <w:proofErr w:type="gramStart"/>
      <w:r w:rsidR="003F7EA3">
        <w:rPr>
          <w:lang w:eastAsia="ko-KR"/>
        </w:rPr>
        <w:t>Thus</w:t>
      </w:r>
      <w:proofErr w:type="gramEnd"/>
      <w:r w:rsidR="003F7EA3">
        <w:rPr>
          <w:lang w:eastAsia="ko-KR"/>
        </w:rPr>
        <w:t xml:space="preserve"> </w:t>
      </w:r>
      <w:r w:rsidR="00A57A5B">
        <w:rPr>
          <w:lang w:eastAsia="ko-KR"/>
        </w:rPr>
        <w:t>it would also be possible</w:t>
      </w:r>
      <w:r w:rsidR="003F7EA3">
        <w:rPr>
          <w:lang w:eastAsia="ko-KR"/>
        </w:rPr>
        <w:t xml:space="preserve"> that the </w:t>
      </w:r>
      <w:proofErr w:type="spellStart"/>
      <w:r w:rsidR="003F7EA3">
        <w:rPr>
          <w:lang w:eastAsia="ko-KR"/>
        </w:rPr>
        <w:t>gNB</w:t>
      </w:r>
      <w:proofErr w:type="spellEnd"/>
      <w:r w:rsidR="003F7EA3">
        <w:rPr>
          <w:lang w:eastAsia="ko-KR"/>
        </w:rPr>
        <w:t xml:space="preserve"> by implementation can dynamically select whether to use the </w:t>
      </w:r>
      <w:r w:rsidR="00F23C66">
        <w:rPr>
          <w:lang w:eastAsia="ko-KR"/>
        </w:rPr>
        <w:t xml:space="preserve">C-RNTI or the </w:t>
      </w:r>
      <w:r w:rsidR="00774255">
        <w:rPr>
          <w:lang w:eastAsia="ko-KR"/>
        </w:rPr>
        <w:t>g</w:t>
      </w:r>
      <w:r w:rsidR="00F23C66">
        <w:rPr>
          <w:lang w:eastAsia="ko-KR"/>
        </w:rPr>
        <w:t xml:space="preserve">-RNTI for the </w:t>
      </w:r>
      <w:r w:rsidR="00A57A5B">
        <w:rPr>
          <w:lang w:eastAsia="ko-KR"/>
        </w:rPr>
        <w:t xml:space="preserve">scheduling of a particular </w:t>
      </w:r>
      <w:r w:rsidR="00F23C66">
        <w:rPr>
          <w:lang w:eastAsia="ko-KR"/>
        </w:rPr>
        <w:t>MBS HARQ retransmission</w:t>
      </w:r>
      <w:r w:rsidR="00DA02F8">
        <w:rPr>
          <w:lang w:eastAsia="ko-KR"/>
        </w:rPr>
        <w:t xml:space="preserve">, so as to achieve a good balance between the resource utilization and the </w:t>
      </w:r>
      <w:r w:rsidR="00AD0620">
        <w:rPr>
          <w:lang w:eastAsia="ko-KR"/>
        </w:rPr>
        <w:t>transmission reliability</w:t>
      </w:r>
      <w:r w:rsidR="00F23C66">
        <w:rPr>
          <w:lang w:eastAsia="ko-KR"/>
        </w:rPr>
        <w:t>.</w:t>
      </w:r>
    </w:p>
    <w:p w14:paraId="416C2E2C" w14:textId="3A834DAA" w:rsidR="005D016D" w:rsidRPr="00774255" w:rsidRDefault="00F477DD" w:rsidP="00AF7C99">
      <w:pPr>
        <w:rPr>
          <w:b/>
        </w:rPr>
      </w:pPr>
      <w:r w:rsidRPr="004B320F">
        <w:rPr>
          <w:b/>
        </w:rPr>
        <w:t xml:space="preserve">Proposal </w:t>
      </w:r>
      <w:r w:rsidR="002F0C5D">
        <w:rPr>
          <w:b/>
        </w:rPr>
        <w:t>4</w:t>
      </w:r>
      <w:r w:rsidRPr="004B320F">
        <w:rPr>
          <w:b/>
        </w:rPr>
        <w:t xml:space="preserve">: </w:t>
      </w:r>
      <w:r w:rsidR="00634676">
        <w:rPr>
          <w:b/>
        </w:rPr>
        <w:t xml:space="preserve">If </w:t>
      </w:r>
      <w:r w:rsidR="00774255">
        <w:rPr>
          <w:b/>
        </w:rPr>
        <w:t>g</w:t>
      </w:r>
      <w:r w:rsidR="001E4B13">
        <w:rPr>
          <w:b/>
        </w:rPr>
        <w:t>-RNTI scheduled MBS transmission</w:t>
      </w:r>
      <w:r w:rsidR="00634676">
        <w:rPr>
          <w:b/>
        </w:rPr>
        <w:t xml:space="preserve"> is supported</w:t>
      </w:r>
      <w:r w:rsidR="001E4B13">
        <w:rPr>
          <w:b/>
        </w:rPr>
        <w:t xml:space="preserve">, the </w:t>
      </w:r>
      <w:r w:rsidRPr="004B320F">
        <w:rPr>
          <w:b/>
        </w:rPr>
        <w:t xml:space="preserve">HARQ </w:t>
      </w:r>
      <w:r w:rsidR="008B4313">
        <w:rPr>
          <w:b/>
        </w:rPr>
        <w:t>re-</w:t>
      </w:r>
      <w:r w:rsidRPr="004B320F">
        <w:rPr>
          <w:b/>
        </w:rPr>
        <w:t xml:space="preserve">transmission </w:t>
      </w:r>
      <w:r w:rsidR="008B4313">
        <w:rPr>
          <w:b/>
        </w:rPr>
        <w:t>can be</w:t>
      </w:r>
      <w:r w:rsidRPr="004B320F">
        <w:rPr>
          <w:b/>
        </w:rPr>
        <w:t xml:space="preserve"> scheduled via </w:t>
      </w:r>
      <w:r w:rsidR="008B4313">
        <w:rPr>
          <w:b/>
        </w:rPr>
        <w:t xml:space="preserve">either </w:t>
      </w:r>
      <w:r w:rsidR="00774255">
        <w:rPr>
          <w:b/>
        </w:rPr>
        <w:t>g</w:t>
      </w:r>
      <w:r w:rsidRPr="004B320F">
        <w:rPr>
          <w:b/>
        </w:rPr>
        <w:t>-RNTI</w:t>
      </w:r>
      <w:r w:rsidR="008B4313">
        <w:rPr>
          <w:b/>
        </w:rPr>
        <w:t xml:space="preserve"> or C-RNTI</w:t>
      </w:r>
      <w:r w:rsidRPr="004B320F">
        <w:rPr>
          <w:b/>
        </w:rPr>
        <w:t>.</w:t>
      </w:r>
    </w:p>
    <w:p w14:paraId="1662BD9E" w14:textId="77777777" w:rsidR="00DA44DE" w:rsidRDefault="00DA44DE" w:rsidP="00DA44DE">
      <w:pPr>
        <w:pStyle w:val="1"/>
        <w:jc w:val="left"/>
      </w:pPr>
      <w:r>
        <w:t>Conclusions</w:t>
      </w:r>
    </w:p>
    <w:p w14:paraId="651118C8" w14:textId="5AFB950B" w:rsidR="00DA44DE" w:rsidRDefault="00227685" w:rsidP="00227685">
      <w:pPr>
        <w:spacing w:afterLines="50" w:line="240" w:lineRule="auto"/>
      </w:pPr>
      <w:r w:rsidRPr="00227685">
        <w:t>In this contribution, we make discussions on the other issues for Rel-17 MBS</w:t>
      </w:r>
      <w:r>
        <w:t>, and</w:t>
      </w:r>
      <w:r w:rsidR="00DA44DE">
        <w:t xml:space="preserve"> we have the following </w:t>
      </w:r>
      <w:r w:rsidR="00DA44DE">
        <w:rPr>
          <w:rFonts w:hint="eastAsia"/>
        </w:rPr>
        <w:t>p</w:t>
      </w:r>
      <w:r w:rsidR="00561D9A">
        <w:t>roposal</w:t>
      </w:r>
      <w:r w:rsidR="00234D0A">
        <w:t>s</w:t>
      </w:r>
      <w:r w:rsidR="00C146A7">
        <w:t>:</w:t>
      </w:r>
    </w:p>
    <w:p w14:paraId="1B917BCE" w14:textId="77777777" w:rsidR="00E40020" w:rsidRPr="00815463" w:rsidRDefault="00E40020" w:rsidP="00E40020">
      <w:pPr>
        <w:rPr>
          <w:b/>
        </w:rPr>
      </w:pPr>
      <w:r w:rsidRPr="00815463">
        <w:rPr>
          <w:b/>
        </w:rPr>
        <w:t>Proposal 1: The MBS transmission (i.e. PDSCH scheduled by C-RNTI) and the unicast transmission (i.e. PDSCH scheduled by MBS-RNTI) share the same HARQ process pool.</w:t>
      </w:r>
    </w:p>
    <w:p w14:paraId="0EC9FA58" w14:textId="18C29F32" w:rsidR="002F0C5D" w:rsidRPr="00926C4E" w:rsidRDefault="002F0C5D" w:rsidP="002F0C5D">
      <w:pPr>
        <w:rPr>
          <w:b/>
        </w:rPr>
      </w:pPr>
      <w:r w:rsidRPr="00926C4E">
        <w:rPr>
          <w:b/>
        </w:rPr>
        <w:t xml:space="preserve">Proposal 2: </w:t>
      </w:r>
      <w:r>
        <w:rPr>
          <w:b/>
        </w:rPr>
        <w:t>For the dynamic scheduling of MBS, t</w:t>
      </w:r>
      <w:r w:rsidRPr="00926C4E">
        <w:rPr>
          <w:b/>
        </w:rPr>
        <w:t xml:space="preserve">he HARQ process </w:t>
      </w:r>
      <w:r>
        <w:rPr>
          <w:b/>
        </w:rPr>
        <w:t>used for</w:t>
      </w:r>
      <w:r w:rsidRPr="00926C4E">
        <w:rPr>
          <w:b/>
        </w:rPr>
        <w:t xml:space="preserve"> </w:t>
      </w:r>
      <w:r>
        <w:rPr>
          <w:b/>
        </w:rPr>
        <w:t xml:space="preserve">the </w:t>
      </w:r>
      <w:r w:rsidRPr="00926C4E">
        <w:rPr>
          <w:b/>
        </w:rPr>
        <w:t xml:space="preserve">MBS </w:t>
      </w:r>
      <w:r>
        <w:rPr>
          <w:b/>
        </w:rPr>
        <w:t>transmission is</w:t>
      </w:r>
      <w:r w:rsidRPr="00926C4E">
        <w:rPr>
          <w:b/>
        </w:rPr>
        <w:t xml:space="preserve"> indicated </w:t>
      </w:r>
      <w:r>
        <w:rPr>
          <w:b/>
        </w:rPr>
        <w:t xml:space="preserve">via the </w:t>
      </w:r>
      <w:r w:rsidR="00227685">
        <w:rPr>
          <w:b/>
        </w:rPr>
        <w:t>g</w:t>
      </w:r>
      <w:r>
        <w:rPr>
          <w:b/>
        </w:rPr>
        <w:t>-RNTI DCI.</w:t>
      </w:r>
    </w:p>
    <w:p w14:paraId="623BF7B5" w14:textId="77777777" w:rsidR="00CD10CA" w:rsidRPr="00CD10CA" w:rsidRDefault="00CD10CA" w:rsidP="00CD10CA">
      <w:pPr>
        <w:rPr>
          <w:rFonts w:hint="eastAsia"/>
          <w:b/>
        </w:rPr>
      </w:pPr>
      <w:r w:rsidRPr="007B211F">
        <w:rPr>
          <w:b/>
        </w:rPr>
        <w:t>Proposal 3: For the semi-static resource allocation</w:t>
      </w:r>
      <w:r>
        <w:rPr>
          <w:b/>
        </w:rPr>
        <w:t xml:space="preserve"> of MBS (i.e. SPS alike)</w:t>
      </w:r>
      <w:r w:rsidRPr="007B211F">
        <w:rPr>
          <w:b/>
        </w:rPr>
        <w:t xml:space="preserve">, the </w:t>
      </w:r>
      <w:r>
        <w:rPr>
          <w:b/>
        </w:rPr>
        <w:t>HARQ-process ID for MBS transmission can be either RRC-configured, or implicitly derived based on slot index</w:t>
      </w:r>
      <w:r w:rsidRPr="007B211F">
        <w:rPr>
          <w:b/>
        </w:rPr>
        <w:t>.</w:t>
      </w:r>
    </w:p>
    <w:p w14:paraId="3BC88D23" w14:textId="0091A2F0" w:rsidR="008A75AD" w:rsidRPr="00227685" w:rsidRDefault="002F0C5D" w:rsidP="00227685">
      <w:pPr>
        <w:rPr>
          <w:b/>
        </w:rPr>
      </w:pPr>
      <w:r w:rsidRPr="004B320F">
        <w:rPr>
          <w:b/>
        </w:rPr>
        <w:t xml:space="preserve">Proposal </w:t>
      </w:r>
      <w:r>
        <w:rPr>
          <w:b/>
        </w:rPr>
        <w:t>4</w:t>
      </w:r>
      <w:r w:rsidRPr="004B320F">
        <w:rPr>
          <w:b/>
        </w:rPr>
        <w:t xml:space="preserve">: </w:t>
      </w:r>
      <w:r>
        <w:rPr>
          <w:b/>
        </w:rPr>
        <w:t xml:space="preserve">If </w:t>
      </w:r>
      <w:r w:rsidR="00227685">
        <w:rPr>
          <w:b/>
        </w:rPr>
        <w:t>g</w:t>
      </w:r>
      <w:r>
        <w:rPr>
          <w:b/>
        </w:rPr>
        <w:t xml:space="preserve">-RNTI scheduled MBS transmission is supported, the </w:t>
      </w:r>
      <w:r w:rsidRPr="004B320F">
        <w:rPr>
          <w:b/>
        </w:rPr>
        <w:t xml:space="preserve">HARQ </w:t>
      </w:r>
      <w:r>
        <w:rPr>
          <w:b/>
        </w:rPr>
        <w:t>re-</w:t>
      </w:r>
      <w:r w:rsidRPr="004B320F">
        <w:rPr>
          <w:b/>
        </w:rPr>
        <w:t xml:space="preserve">transmission </w:t>
      </w:r>
      <w:r>
        <w:rPr>
          <w:b/>
        </w:rPr>
        <w:t>can be</w:t>
      </w:r>
      <w:r w:rsidRPr="004B320F">
        <w:rPr>
          <w:b/>
        </w:rPr>
        <w:t xml:space="preserve"> scheduled via </w:t>
      </w:r>
      <w:r>
        <w:rPr>
          <w:b/>
        </w:rPr>
        <w:t xml:space="preserve">either </w:t>
      </w:r>
      <w:r w:rsidR="00774255">
        <w:rPr>
          <w:b/>
        </w:rPr>
        <w:t>g</w:t>
      </w:r>
      <w:r w:rsidRPr="004B320F">
        <w:rPr>
          <w:b/>
        </w:rPr>
        <w:t>-RNTI</w:t>
      </w:r>
      <w:r>
        <w:rPr>
          <w:b/>
        </w:rPr>
        <w:t xml:space="preserve"> or C-RNTI</w:t>
      </w:r>
      <w:r w:rsidRPr="004B320F">
        <w:rPr>
          <w:b/>
        </w:rPr>
        <w:t>.</w:t>
      </w:r>
    </w:p>
    <w:p w14:paraId="513DE901" w14:textId="77777777" w:rsidR="00DA44DE" w:rsidRDefault="00DA44DE" w:rsidP="00DA44DE">
      <w:pPr>
        <w:pStyle w:val="1"/>
        <w:tabs>
          <w:tab w:val="left" w:pos="432"/>
        </w:tabs>
        <w:spacing w:before="180" w:line="240" w:lineRule="auto"/>
        <w:ind w:left="0" w:firstLine="0"/>
        <w:jc w:val="left"/>
      </w:pPr>
      <w:bookmarkStart w:id="4" w:name="_Toc502437832"/>
      <w:r>
        <w:t>Reference</w:t>
      </w:r>
    </w:p>
    <w:bookmarkEnd w:id="4"/>
    <w:p w14:paraId="55478ED5" w14:textId="3709E9AC"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5EF9A853" w14:textId="5566774B" w:rsidR="008244F1" w:rsidRDefault="0058604D" w:rsidP="00C92AEA">
      <w:pPr>
        <w:spacing w:afterLines="50" w:line="240" w:lineRule="auto"/>
        <w:jc w:val="left"/>
      </w:pPr>
      <w:r>
        <w:t>[2] 3GPP TS 3</w:t>
      </w:r>
      <w:r w:rsidR="003D2AD2">
        <w:t>6</w:t>
      </w:r>
      <w:r>
        <w:t>.30</w:t>
      </w:r>
      <w:r w:rsidR="00256B32">
        <w:t>6</w:t>
      </w:r>
      <w:r>
        <w:t>, “</w:t>
      </w:r>
      <w:r w:rsidR="00F45AC2" w:rsidRPr="00787539">
        <w:t>Evolved Universal Terrestrial Radio Access (E-UTRA);</w:t>
      </w:r>
      <w:r w:rsidR="00F45AC2">
        <w:t xml:space="preserve"> </w:t>
      </w:r>
      <w:r w:rsidR="003F45D3" w:rsidRPr="00787539">
        <w:t>User Equipment (UE) radio access capabilities</w:t>
      </w:r>
      <w:r>
        <w:t>”</w:t>
      </w:r>
      <w:r w:rsidR="001542D2">
        <w:t>.</w:t>
      </w:r>
    </w:p>
    <w:p w14:paraId="56FB638B" w14:textId="772272AD" w:rsidR="001542D2" w:rsidRDefault="001542D2" w:rsidP="00C92AEA">
      <w:pPr>
        <w:spacing w:afterLines="50" w:line="240" w:lineRule="auto"/>
        <w:jc w:val="left"/>
      </w:pPr>
      <w:r>
        <w:lastRenderedPageBreak/>
        <w:t>[3]</w:t>
      </w:r>
      <w:r w:rsidR="0031366B">
        <w:t xml:space="preserve"> </w:t>
      </w:r>
      <w:r w:rsidR="00442DAD">
        <w:t>3GPP TS 36.321, “</w:t>
      </w:r>
      <w:r w:rsidR="003337E6">
        <w:t xml:space="preserve">NR; </w:t>
      </w:r>
      <w:r w:rsidR="003337E6" w:rsidRPr="00030779">
        <w:t>Medium Access Control (MAC) protocol specification</w:t>
      </w:r>
      <w:r w:rsidR="00442DAD">
        <w:t>”.</w:t>
      </w:r>
    </w:p>
    <w:p w14:paraId="7F964DFB" w14:textId="3687B0C3" w:rsidR="00D118A6" w:rsidRDefault="00D118A6" w:rsidP="00C92AEA">
      <w:pPr>
        <w:spacing w:afterLines="50" w:line="240" w:lineRule="auto"/>
        <w:jc w:val="left"/>
      </w:pPr>
      <w:r>
        <w:rPr>
          <w:rFonts w:hint="eastAsia"/>
        </w:rPr>
        <w:t>[</w:t>
      </w:r>
      <w:r>
        <w:t xml:space="preserve">4] </w:t>
      </w:r>
      <w:r w:rsidRPr="00774255">
        <w:t>R1-2005408, vivo, Discussion on mechanisms to support group scheduling for RRC_CONNECTED UEs</w:t>
      </w:r>
    </w:p>
    <w:sectPr w:rsidR="00D118A6"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D2FE5" w14:textId="77777777" w:rsidR="00D55CF0" w:rsidRDefault="00D55CF0">
      <w:pPr>
        <w:spacing w:after="0" w:line="240" w:lineRule="auto"/>
      </w:pPr>
      <w:r>
        <w:separator/>
      </w:r>
    </w:p>
  </w:endnote>
  <w:endnote w:type="continuationSeparator" w:id="0">
    <w:p w14:paraId="317A42F7" w14:textId="77777777" w:rsidR="00D55CF0" w:rsidRDefault="00D55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ACC44" w14:textId="77777777" w:rsidR="00D55CF0" w:rsidRDefault="00D55CF0">
      <w:pPr>
        <w:spacing w:after="0" w:line="240" w:lineRule="auto"/>
      </w:pPr>
      <w:r>
        <w:separator/>
      </w:r>
    </w:p>
  </w:footnote>
  <w:footnote w:type="continuationSeparator" w:id="0">
    <w:p w14:paraId="2F096295" w14:textId="77777777" w:rsidR="00D55CF0" w:rsidRDefault="00D55C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116D6C"/>
    <w:multiLevelType w:val="hybridMultilevel"/>
    <w:tmpl w:val="512A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6"/>
  </w:num>
  <w:num w:numId="4">
    <w:abstractNumId w:val="4"/>
  </w:num>
  <w:num w:numId="5">
    <w:abstractNumId w:val="9"/>
  </w:num>
  <w:num w:numId="6">
    <w:abstractNumId w:val="27"/>
  </w:num>
  <w:num w:numId="7">
    <w:abstractNumId w:val="22"/>
  </w:num>
  <w:num w:numId="8">
    <w:abstractNumId w:val="8"/>
  </w:num>
  <w:num w:numId="9">
    <w:abstractNumId w:val="20"/>
  </w:num>
  <w:num w:numId="10">
    <w:abstractNumId w:val="2"/>
  </w:num>
  <w:num w:numId="11">
    <w:abstractNumId w:val="1"/>
  </w:num>
  <w:num w:numId="12">
    <w:abstractNumId w:val="24"/>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8"/>
  </w:num>
  <w:num w:numId="18">
    <w:abstractNumId w:val="13"/>
  </w:num>
  <w:num w:numId="19">
    <w:abstractNumId w:val="30"/>
  </w:num>
  <w:num w:numId="20">
    <w:abstractNumId w:val="26"/>
  </w:num>
  <w:num w:numId="21">
    <w:abstractNumId w:val="23"/>
  </w:num>
  <w:num w:numId="22">
    <w:abstractNumId w:val="11"/>
  </w:num>
  <w:num w:numId="23">
    <w:abstractNumId w:val="19"/>
  </w:num>
  <w:num w:numId="24">
    <w:abstractNumId w:val="1"/>
  </w:num>
  <w:num w:numId="25">
    <w:abstractNumId w:val="7"/>
  </w:num>
  <w:num w:numId="26">
    <w:abstractNumId w:val="28"/>
  </w:num>
  <w:num w:numId="27">
    <w:abstractNumId w:val="31"/>
  </w:num>
  <w:num w:numId="28">
    <w:abstractNumId w:val="17"/>
  </w:num>
  <w:num w:numId="29">
    <w:abstractNumId w:val="1"/>
  </w:num>
  <w:num w:numId="30">
    <w:abstractNumId w:val="1"/>
  </w:num>
  <w:num w:numId="31">
    <w:abstractNumId w:val="6"/>
  </w:num>
  <w:num w:numId="32">
    <w:abstractNumId w:val="1"/>
  </w:num>
  <w:num w:numId="33">
    <w:abstractNumId w:val="5"/>
  </w:num>
  <w:num w:numId="34">
    <w:abstractNumId w:val="21"/>
  </w:num>
  <w:num w:numId="35">
    <w:abstractNumId w:val="29"/>
  </w:num>
  <w:num w:numId="36">
    <w:abstractNumId w:val="10"/>
  </w:num>
  <w:num w:numId="37">
    <w:abstractNumId w:val="1"/>
  </w:num>
  <w:num w:numId="38">
    <w:abstractNumId w:val="3"/>
  </w:num>
  <w:num w:numId="39">
    <w:abstractNumId w:val="25"/>
  </w:num>
  <w:num w:numId="40">
    <w:abstractNumId w:val="1"/>
  </w:num>
  <w:num w:numId="41">
    <w:abstractNumId w:val="1"/>
  </w:num>
  <w:num w:numId="42">
    <w:abstractNumId w:val="1"/>
  </w:num>
  <w:num w:numId="4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D4"/>
    <w:rsid w:val="00086F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7B9"/>
    <w:rsid w:val="000E3902"/>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4212"/>
    <w:rsid w:val="00214A8A"/>
    <w:rsid w:val="0021512C"/>
    <w:rsid w:val="002151BF"/>
    <w:rsid w:val="00215C6F"/>
    <w:rsid w:val="00215D47"/>
    <w:rsid w:val="00216119"/>
    <w:rsid w:val="002167C5"/>
    <w:rsid w:val="00216839"/>
    <w:rsid w:val="00216F5C"/>
    <w:rsid w:val="00217011"/>
    <w:rsid w:val="0021701D"/>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66B"/>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735"/>
    <w:rsid w:val="00336D7B"/>
    <w:rsid w:val="00336EFD"/>
    <w:rsid w:val="00337094"/>
    <w:rsid w:val="00337317"/>
    <w:rsid w:val="00337C96"/>
    <w:rsid w:val="00337E5C"/>
    <w:rsid w:val="00337EA0"/>
    <w:rsid w:val="003406DC"/>
    <w:rsid w:val="00341389"/>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4B3"/>
    <w:rsid w:val="003D056F"/>
    <w:rsid w:val="003D0F7F"/>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B59"/>
    <w:rsid w:val="003F1C99"/>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A4"/>
    <w:rsid w:val="004333B9"/>
    <w:rsid w:val="0043378D"/>
    <w:rsid w:val="00433A36"/>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367"/>
    <w:rsid w:val="006363CB"/>
    <w:rsid w:val="006364B5"/>
    <w:rsid w:val="00637A4C"/>
    <w:rsid w:val="00637C07"/>
    <w:rsid w:val="00637F63"/>
    <w:rsid w:val="00637FBF"/>
    <w:rsid w:val="006400AC"/>
    <w:rsid w:val="006401B4"/>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72D8"/>
    <w:rsid w:val="0066755E"/>
    <w:rsid w:val="00667C0A"/>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001"/>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24D"/>
    <w:rsid w:val="00844311"/>
    <w:rsid w:val="0084444F"/>
    <w:rsid w:val="00844BEF"/>
    <w:rsid w:val="00844DB8"/>
    <w:rsid w:val="00844E7D"/>
    <w:rsid w:val="0084518F"/>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D71"/>
    <w:rsid w:val="00924C33"/>
    <w:rsid w:val="00924C95"/>
    <w:rsid w:val="00924CFA"/>
    <w:rsid w:val="00924F61"/>
    <w:rsid w:val="00925037"/>
    <w:rsid w:val="00925D43"/>
    <w:rsid w:val="00925D7B"/>
    <w:rsid w:val="00926C4E"/>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17A"/>
    <w:rsid w:val="00AA0245"/>
    <w:rsid w:val="00AA02FB"/>
    <w:rsid w:val="00AA03B9"/>
    <w:rsid w:val="00AA05A8"/>
    <w:rsid w:val="00AA08B1"/>
    <w:rsid w:val="00AA0C4B"/>
    <w:rsid w:val="00AA104D"/>
    <w:rsid w:val="00AA13D9"/>
    <w:rsid w:val="00AA1505"/>
    <w:rsid w:val="00AA1629"/>
    <w:rsid w:val="00AA1831"/>
    <w:rsid w:val="00AA1855"/>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AE1"/>
    <w:rsid w:val="00AB2C75"/>
    <w:rsid w:val="00AB2EC6"/>
    <w:rsid w:val="00AB336C"/>
    <w:rsid w:val="00AB3E97"/>
    <w:rsid w:val="00AB4074"/>
    <w:rsid w:val="00AB4463"/>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CE7"/>
    <w:rsid w:val="00AC7E76"/>
    <w:rsid w:val="00AD0620"/>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56D"/>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03"/>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210"/>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208"/>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9A5"/>
    <w:rsid w:val="00D80CB5"/>
    <w:rsid w:val="00D81B87"/>
    <w:rsid w:val="00D81E3D"/>
    <w:rsid w:val="00D82935"/>
    <w:rsid w:val="00D82EA1"/>
    <w:rsid w:val="00D830E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A4"/>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633"/>
    <w:rsid w:val="00F058AE"/>
    <w:rsid w:val="00F05A04"/>
    <w:rsid w:val="00F060B6"/>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出段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列出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A2D9F-F1E4-452A-8D34-2609E098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李娜-5G</cp:lastModifiedBy>
  <cp:revision>4</cp:revision>
  <cp:lastPrinted>2018-04-04T09:40:00Z</cp:lastPrinted>
  <dcterms:created xsi:type="dcterms:W3CDTF">2020-08-07T14:34:00Z</dcterms:created>
  <dcterms:modified xsi:type="dcterms:W3CDTF">2020-08-07T15:07:00Z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